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8C8" w:rsidRDefault="003F7C6D">
      <w:pPr>
        <w:rPr>
          <w:rFonts w:hint="eastAsia"/>
        </w:rPr>
      </w:pPr>
      <w:r>
        <w:rPr>
          <w:rFonts w:hint="eastAsia"/>
        </w:rPr>
        <w:t>Arrive checklist</w:t>
      </w:r>
    </w:p>
    <w:p w:rsidR="003F7C6D" w:rsidRDefault="003F7C6D">
      <w:pPr>
        <w:rPr>
          <w:rFonts w:hint="eastAsia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97"/>
        <w:gridCol w:w="610"/>
        <w:gridCol w:w="5453"/>
        <w:gridCol w:w="962"/>
      </w:tblGrid>
      <w:tr w:rsidR="00CB27BC" w:rsidTr="00E06A10">
        <w:trPr>
          <w:trHeight w:val="637"/>
        </w:trPr>
        <w:tc>
          <w:tcPr>
            <w:tcW w:w="0" w:type="auto"/>
          </w:tcPr>
          <w:p w:rsidR="003F7C6D" w:rsidRDefault="003F7C6D" w:rsidP="001D496B">
            <w:pPr>
              <w:rPr>
                <w:rFonts w:hint="eastAsia"/>
              </w:rPr>
            </w:pPr>
          </w:p>
        </w:tc>
        <w:tc>
          <w:tcPr>
            <w:tcW w:w="0" w:type="auto"/>
          </w:tcPr>
          <w:p w:rsidR="003F7C6D" w:rsidRDefault="003F7C6D" w:rsidP="001D496B">
            <w:pPr>
              <w:rPr>
                <w:rFonts w:hint="eastAsia"/>
              </w:rPr>
            </w:pPr>
            <w:r>
              <w:rPr>
                <w:rFonts w:hint="eastAsia"/>
              </w:rPr>
              <w:t>Item</w:t>
            </w:r>
          </w:p>
        </w:tc>
        <w:tc>
          <w:tcPr>
            <w:tcW w:w="0" w:type="auto"/>
          </w:tcPr>
          <w:p w:rsidR="003F7C6D" w:rsidRPr="003F7C6D" w:rsidRDefault="003F7C6D" w:rsidP="001D496B">
            <w:r>
              <w:rPr>
                <w:rFonts w:hint="eastAsia"/>
              </w:rPr>
              <w:t>recommendation</w:t>
            </w:r>
          </w:p>
        </w:tc>
        <w:tc>
          <w:tcPr>
            <w:tcW w:w="0" w:type="auto"/>
          </w:tcPr>
          <w:p w:rsidR="003F7C6D" w:rsidRDefault="003F7C6D" w:rsidP="001D496B">
            <w:r>
              <w:t>P</w:t>
            </w:r>
            <w:r>
              <w:rPr>
                <w:rFonts w:hint="eastAsia"/>
              </w:rPr>
              <w:t>age number</w:t>
            </w:r>
          </w:p>
        </w:tc>
      </w:tr>
      <w:tr w:rsidR="00CB27BC" w:rsidTr="00CB27BC">
        <w:trPr>
          <w:trHeight w:val="703"/>
        </w:trPr>
        <w:tc>
          <w:tcPr>
            <w:tcW w:w="0" w:type="auto"/>
          </w:tcPr>
          <w:p w:rsidR="003F7C6D" w:rsidRDefault="003F7C6D" w:rsidP="001D496B">
            <w:r>
              <w:rPr>
                <w:rFonts w:hint="eastAsia"/>
              </w:rPr>
              <w:t>Title</w:t>
            </w:r>
          </w:p>
        </w:tc>
        <w:tc>
          <w:tcPr>
            <w:tcW w:w="0" w:type="auto"/>
          </w:tcPr>
          <w:p w:rsidR="003F7C6D" w:rsidRPr="003F7C6D" w:rsidRDefault="003F7C6D" w:rsidP="001D496B">
            <w:r>
              <w:rPr>
                <w:rFonts w:hint="eastAsia"/>
              </w:rPr>
              <w:t>1</w:t>
            </w:r>
          </w:p>
        </w:tc>
        <w:tc>
          <w:tcPr>
            <w:tcW w:w="0" w:type="auto"/>
          </w:tcPr>
          <w:p w:rsidR="003F7C6D" w:rsidRDefault="003F7C6D" w:rsidP="001D496B">
            <w:r w:rsidRPr="003F7C6D">
              <w:t>Acquisition and bioactivity analysis of single-chain fragment variable antibody against CSFV</w:t>
            </w:r>
          </w:p>
        </w:tc>
        <w:tc>
          <w:tcPr>
            <w:tcW w:w="0" w:type="auto"/>
          </w:tcPr>
          <w:p w:rsidR="003F7C6D" w:rsidRDefault="00E06A10" w:rsidP="001D496B">
            <w:r>
              <w:rPr>
                <w:rFonts w:hint="eastAsia"/>
              </w:rPr>
              <w:t>1</w:t>
            </w:r>
          </w:p>
        </w:tc>
      </w:tr>
      <w:tr w:rsidR="00CB27BC" w:rsidTr="00E06A10">
        <w:trPr>
          <w:trHeight w:val="1696"/>
        </w:trPr>
        <w:tc>
          <w:tcPr>
            <w:tcW w:w="0" w:type="auto"/>
          </w:tcPr>
          <w:p w:rsidR="003F7C6D" w:rsidRDefault="003F7C6D" w:rsidP="001D496B">
            <w:r w:rsidRPr="003F7C6D">
              <w:t>Abstract</w:t>
            </w:r>
          </w:p>
        </w:tc>
        <w:tc>
          <w:tcPr>
            <w:tcW w:w="0" w:type="auto"/>
          </w:tcPr>
          <w:p w:rsidR="003F7C6D" w:rsidRDefault="003F7C6D" w:rsidP="001D496B">
            <w:r>
              <w:rPr>
                <w:rFonts w:hint="eastAsia"/>
              </w:rPr>
              <w:t>2</w:t>
            </w:r>
          </w:p>
        </w:tc>
        <w:tc>
          <w:tcPr>
            <w:tcW w:w="0" w:type="auto"/>
          </w:tcPr>
          <w:p w:rsidR="003F7C6D" w:rsidRPr="00834313" w:rsidRDefault="00834313" w:rsidP="00CB27BC">
            <w:pPr>
              <w:rPr>
                <w:rFonts w:ascii="Times New Roman" w:eastAsia="宋体" w:hAnsi="Times New Roman" w:cs="Times New Roman"/>
                <w:szCs w:val="20"/>
              </w:rPr>
            </w:pPr>
            <w:r w:rsidRPr="004E23D5">
              <w:rPr>
                <w:rFonts w:ascii="Times New Roman" w:eastAsia="宋体" w:hAnsi="Times New Roman" w:cs="Times New Roman"/>
                <w:szCs w:val="20"/>
              </w:rPr>
              <w:t xml:space="preserve">Classical swine fever </w:t>
            </w:r>
            <w:r w:rsidRPr="00DA0648">
              <w:rPr>
                <w:rFonts w:ascii="Times New Roman" w:eastAsia="宋体" w:hAnsi="Times New Roman" w:cs="Times New Roman"/>
                <w:szCs w:val="20"/>
              </w:rPr>
              <w:t>(CSF) is a highly contagious disease</w:t>
            </w:r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 xml:space="preserve"> that threatens the </w:t>
            </w:r>
            <w:r w:rsidRPr="00DA0648">
              <w:rPr>
                <w:rFonts w:ascii="Times New Roman" w:eastAsia="宋体" w:hAnsi="Times New Roman" w:cs="Times New Roman"/>
                <w:szCs w:val="20"/>
              </w:rPr>
              <w:t>pig industry</w:t>
            </w:r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 xml:space="preserve">. </w:t>
            </w:r>
            <w:r w:rsidRPr="00DA0648">
              <w:rPr>
                <w:rFonts w:ascii="Times New Roman" w:eastAsia="宋体" w:hAnsi="Times New Roman" w:cs="Times New Roman"/>
                <w:szCs w:val="20"/>
              </w:rPr>
              <w:t>I</w:t>
            </w:r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>n this study,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>
              <w:rPr>
                <w:rFonts w:hint="eastAsia"/>
              </w:rPr>
              <w:t>we selected one antibody against CSFV.</w:t>
            </w:r>
            <w:r w:rsidR="00CB27BC">
              <w:rPr>
                <w:rFonts w:hint="eastAsia"/>
              </w:rPr>
              <w:t xml:space="preserve"> </w:t>
            </w:r>
            <w:r w:rsidR="00CB27BC">
              <w:rPr>
                <w:rFonts w:ascii="Times New Roman" w:eastAsia="宋体" w:hAnsi="Times New Roman" w:cs="Times New Roman" w:hint="eastAsia"/>
                <w:szCs w:val="20"/>
              </w:rPr>
              <w:t>T</w:t>
            </w:r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>he neutralizing capacity was measured in vitro. I</w:t>
            </w:r>
            <w:r w:rsidRPr="00DA0648">
              <w:rPr>
                <w:rFonts w:ascii="Times New Roman" w:eastAsia="宋体" w:hAnsi="Times New Roman" w:cs="Times New Roman"/>
                <w:szCs w:val="20"/>
              </w:rPr>
              <w:t>ndirect immunofluorescence assay (IFA)</w:t>
            </w:r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 xml:space="preserve"> results showed that </w:t>
            </w:r>
            <w:bookmarkStart w:id="0" w:name="OLE_LINK22"/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>scFv-16</w:t>
            </w:r>
            <w:bookmarkEnd w:id="0"/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 xml:space="preserve"> was able to </w:t>
            </w:r>
            <w:bookmarkStart w:id="1" w:name="OLE_LINK72"/>
            <w:bookmarkStart w:id="2" w:name="OLE_LINK73"/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>neutralize</w:t>
            </w:r>
            <w:bookmarkEnd w:id="1"/>
            <w:bookmarkEnd w:id="2"/>
            <w:r w:rsidRPr="00DA0648">
              <w:rPr>
                <w:rFonts w:ascii="Times New Roman" w:eastAsia="宋体" w:hAnsi="Times New Roman" w:cs="Times New Roman" w:hint="eastAsia"/>
                <w:szCs w:val="20"/>
              </w:rPr>
              <w:t xml:space="preserve"> CSFV. </w:t>
            </w:r>
          </w:p>
        </w:tc>
        <w:tc>
          <w:tcPr>
            <w:tcW w:w="0" w:type="auto"/>
          </w:tcPr>
          <w:p w:rsidR="003F7C6D" w:rsidRDefault="00E06A10" w:rsidP="001D496B">
            <w:r>
              <w:rPr>
                <w:rFonts w:hint="eastAsia"/>
              </w:rPr>
              <w:t>1</w:t>
            </w:r>
          </w:p>
        </w:tc>
      </w:tr>
      <w:tr w:rsidR="00CB27BC" w:rsidTr="00CB27BC">
        <w:trPr>
          <w:trHeight w:val="1261"/>
        </w:trPr>
        <w:tc>
          <w:tcPr>
            <w:tcW w:w="0" w:type="auto"/>
          </w:tcPr>
          <w:p w:rsidR="003F7C6D" w:rsidRDefault="003F7C6D" w:rsidP="001D496B">
            <w:r w:rsidRPr="003F7C6D">
              <w:t>Backgroud</w:t>
            </w:r>
          </w:p>
        </w:tc>
        <w:tc>
          <w:tcPr>
            <w:tcW w:w="0" w:type="auto"/>
          </w:tcPr>
          <w:p w:rsidR="003F7C6D" w:rsidRDefault="00FE107C" w:rsidP="001D496B">
            <w:r>
              <w:rPr>
                <w:rFonts w:hint="eastAsia"/>
              </w:rPr>
              <w:t>3</w:t>
            </w:r>
          </w:p>
        </w:tc>
        <w:tc>
          <w:tcPr>
            <w:tcW w:w="0" w:type="auto"/>
          </w:tcPr>
          <w:p w:rsidR="003F7C6D" w:rsidRDefault="00FE107C" w:rsidP="001D496B">
            <w:r w:rsidRPr="00FE107C">
              <w:t>Classical swine fever (CSF) is a highly contagious disease that threatens the pig industry. Passive immunization with neutralizing antibodies against classical swine fever virus (CSFV) is an effective prevention and therapeutic measure</w:t>
            </w:r>
          </w:p>
        </w:tc>
        <w:tc>
          <w:tcPr>
            <w:tcW w:w="0" w:type="auto"/>
          </w:tcPr>
          <w:p w:rsidR="003F7C6D" w:rsidRDefault="00E06A10" w:rsidP="001D496B">
            <w:r>
              <w:rPr>
                <w:rFonts w:hint="eastAsia"/>
              </w:rPr>
              <w:t>1</w:t>
            </w:r>
          </w:p>
        </w:tc>
      </w:tr>
      <w:tr w:rsidR="00FE107C" w:rsidTr="00E06A10">
        <w:trPr>
          <w:trHeight w:val="218"/>
        </w:trPr>
        <w:tc>
          <w:tcPr>
            <w:tcW w:w="0" w:type="auto"/>
            <w:gridSpan w:val="4"/>
            <w:shd w:val="clear" w:color="auto" w:fill="C6D9F1" w:themeFill="text2" w:themeFillTint="33"/>
          </w:tcPr>
          <w:p w:rsidR="00FE107C" w:rsidRDefault="00FE107C" w:rsidP="001D496B">
            <w:r w:rsidRPr="003F7C6D">
              <w:t>Methods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Pr="003F7C6D" w:rsidRDefault="00FE107C" w:rsidP="001D496B">
            <w:r w:rsidRPr="00FE107C">
              <w:t>Ethics approval</w:t>
            </w:r>
          </w:p>
        </w:tc>
        <w:tc>
          <w:tcPr>
            <w:tcW w:w="0" w:type="auto"/>
          </w:tcPr>
          <w:p w:rsidR="00FE107C" w:rsidRPr="003F7C6D" w:rsidRDefault="00FE107C" w:rsidP="001D496B">
            <w:r>
              <w:rPr>
                <w:rFonts w:hint="eastAsia"/>
              </w:rPr>
              <w:t>4</w:t>
            </w:r>
          </w:p>
        </w:tc>
        <w:tc>
          <w:tcPr>
            <w:tcW w:w="0" w:type="auto"/>
          </w:tcPr>
          <w:p w:rsidR="00FE107C" w:rsidRPr="003F7C6D" w:rsidRDefault="00B131EE" w:rsidP="001D496B">
            <w:r w:rsidRPr="00B131EE">
              <w:rPr>
                <w:rFonts w:hint="eastAsia"/>
              </w:rPr>
              <w:t xml:space="preserve">All animal experiments were performed in accordance with the guide for the </w:t>
            </w:r>
            <w:r w:rsidRPr="00B131EE">
              <w:t>Institutional Animal Care and Use Committee at Centers for Disease Control and Prevention (CDC)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3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Default="00B131EE" w:rsidP="001D496B">
            <w:pPr>
              <w:rPr>
                <w:rFonts w:hint="eastAsia"/>
              </w:rPr>
            </w:pPr>
            <w:r>
              <w:rPr>
                <w:rFonts w:hint="eastAsia"/>
              </w:rPr>
              <w:t>Study design and</w:t>
            </w:r>
          </w:p>
          <w:p w:rsidR="00B131EE" w:rsidRPr="003F7C6D" w:rsidRDefault="00B131EE" w:rsidP="00B131EE">
            <w:r>
              <w:t>E</w:t>
            </w:r>
            <w:r>
              <w:rPr>
                <w:rFonts w:hint="eastAsia"/>
              </w:rPr>
              <w:t>xperimental procedures</w:t>
            </w:r>
          </w:p>
        </w:tc>
        <w:tc>
          <w:tcPr>
            <w:tcW w:w="0" w:type="auto"/>
          </w:tcPr>
          <w:p w:rsidR="00FE107C" w:rsidRPr="003F7C6D" w:rsidRDefault="00FE107C" w:rsidP="001D496B">
            <w:r>
              <w:rPr>
                <w:rFonts w:hint="eastAsia"/>
              </w:rPr>
              <w:t>5</w:t>
            </w:r>
          </w:p>
        </w:tc>
        <w:tc>
          <w:tcPr>
            <w:tcW w:w="0" w:type="auto"/>
          </w:tcPr>
          <w:p w:rsidR="00FE107C" w:rsidRDefault="00B131EE" w:rsidP="001D496B">
            <w:pPr>
              <w:rPr>
                <w:rFonts w:hint="eastAsia"/>
              </w:rPr>
            </w:pPr>
            <w:r w:rsidRPr="00B131EE">
              <w:t>Virus and cell culture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Animal immunization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B lymphocyte sorting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Generation of the VH and VL chains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Molecular cloning of scFv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Construction of recombinant eukaryotic expression pCAGGS-scFv plasmid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Cytotoxicity Assay</w:t>
            </w:r>
            <w:r>
              <w:rPr>
                <w:rFonts w:hint="eastAsia"/>
              </w:rPr>
              <w:t>;</w:t>
            </w:r>
          </w:p>
          <w:p w:rsidR="00B131EE" w:rsidRDefault="00B131EE" w:rsidP="001D496B">
            <w:pPr>
              <w:rPr>
                <w:rFonts w:hint="eastAsia"/>
              </w:rPr>
            </w:pPr>
            <w:r w:rsidRPr="00B131EE">
              <w:t>Obtaining purified pCAGGS-scFv-16</w:t>
            </w:r>
            <w:r>
              <w:rPr>
                <w:rFonts w:hint="eastAsia"/>
              </w:rPr>
              <w:t>;</w:t>
            </w:r>
          </w:p>
          <w:p w:rsidR="00B131EE" w:rsidRPr="00B131EE" w:rsidRDefault="00B131EE" w:rsidP="001D496B">
            <w:r w:rsidRPr="00B131EE">
              <w:t>Neutralization Test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2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Pr="003F7C6D" w:rsidRDefault="00B131EE" w:rsidP="001D496B">
            <w:r>
              <w:t>E</w:t>
            </w:r>
            <w:r>
              <w:rPr>
                <w:rFonts w:hint="eastAsia"/>
              </w:rPr>
              <w:t>xperimental animal</w:t>
            </w:r>
            <w:r w:rsidR="00467FE1">
              <w:rPr>
                <w:rFonts w:hint="eastAsia"/>
              </w:rPr>
              <w:t>s</w:t>
            </w:r>
          </w:p>
        </w:tc>
        <w:tc>
          <w:tcPr>
            <w:tcW w:w="0" w:type="auto"/>
          </w:tcPr>
          <w:p w:rsidR="00FE107C" w:rsidRPr="003F7C6D" w:rsidRDefault="00127C9F" w:rsidP="001D496B">
            <w:r>
              <w:rPr>
                <w:rFonts w:hint="eastAsia"/>
              </w:rPr>
              <w:t>6</w:t>
            </w:r>
          </w:p>
        </w:tc>
        <w:tc>
          <w:tcPr>
            <w:tcW w:w="0" w:type="auto"/>
          </w:tcPr>
          <w:p w:rsidR="00FE107C" w:rsidRPr="003F7C6D" w:rsidRDefault="00B131EE" w:rsidP="001D496B">
            <w:r>
              <w:rPr>
                <w:rFonts w:hint="eastAsia"/>
              </w:rPr>
              <w:t>Pig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3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Pr="003F7C6D" w:rsidRDefault="00467FE1" w:rsidP="001D496B">
            <w:r>
              <w:rPr>
                <w:rFonts w:hint="eastAsia"/>
              </w:rPr>
              <w:t>Housing and husbandry</w:t>
            </w:r>
          </w:p>
        </w:tc>
        <w:tc>
          <w:tcPr>
            <w:tcW w:w="0" w:type="auto"/>
          </w:tcPr>
          <w:p w:rsidR="00FE107C" w:rsidRPr="003F7C6D" w:rsidRDefault="00127C9F" w:rsidP="001D496B">
            <w:r>
              <w:rPr>
                <w:rFonts w:hint="eastAsia"/>
              </w:rPr>
              <w:t>7</w:t>
            </w:r>
          </w:p>
        </w:tc>
        <w:tc>
          <w:tcPr>
            <w:tcW w:w="0" w:type="auto"/>
          </w:tcPr>
          <w:p w:rsidR="00FE107C" w:rsidRPr="003F7C6D" w:rsidRDefault="00467FE1" w:rsidP="001D496B">
            <w:r w:rsidRPr="00467FE1">
              <w:t>at a local breeding farm and housed in separate sterile isolators and fed with commercial fodder and water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3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Pr="003F7C6D" w:rsidRDefault="00467FE1" w:rsidP="001D496B">
            <w:r>
              <w:t>S</w:t>
            </w:r>
            <w:r>
              <w:rPr>
                <w:rFonts w:hint="eastAsia"/>
              </w:rPr>
              <w:t>ample size</w:t>
            </w:r>
          </w:p>
        </w:tc>
        <w:tc>
          <w:tcPr>
            <w:tcW w:w="0" w:type="auto"/>
          </w:tcPr>
          <w:p w:rsidR="00FE107C" w:rsidRPr="003F7C6D" w:rsidRDefault="00127C9F" w:rsidP="001D496B">
            <w:r>
              <w:rPr>
                <w:rFonts w:hint="eastAsia"/>
              </w:rPr>
              <w:t>8</w:t>
            </w:r>
          </w:p>
        </w:tc>
        <w:tc>
          <w:tcPr>
            <w:tcW w:w="0" w:type="auto"/>
          </w:tcPr>
          <w:p w:rsidR="00467FE1" w:rsidRPr="003F7C6D" w:rsidRDefault="00467FE1" w:rsidP="001D496B">
            <w:r w:rsidRPr="00467FE1">
              <w:t>Two weanling piglets (thirty-days old)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3</w:t>
            </w:r>
          </w:p>
        </w:tc>
      </w:tr>
      <w:tr w:rsidR="00FE107C" w:rsidTr="00E06A10">
        <w:trPr>
          <w:trHeight w:val="211"/>
        </w:trPr>
        <w:tc>
          <w:tcPr>
            <w:tcW w:w="0" w:type="auto"/>
          </w:tcPr>
          <w:p w:rsidR="00FE107C" w:rsidRPr="003F7C6D" w:rsidRDefault="00467FE1" w:rsidP="00467FE1">
            <w:r w:rsidRPr="00467FE1">
              <w:t xml:space="preserve">Experimental </w:t>
            </w:r>
            <w:r>
              <w:rPr>
                <w:rFonts w:hint="eastAsia"/>
              </w:rPr>
              <w:t>outcome</w:t>
            </w:r>
            <w:r w:rsidRPr="00467FE1">
              <w:t>s</w:t>
            </w:r>
          </w:p>
        </w:tc>
        <w:tc>
          <w:tcPr>
            <w:tcW w:w="0" w:type="auto"/>
          </w:tcPr>
          <w:p w:rsidR="00FE107C" w:rsidRPr="003F7C6D" w:rsidRDefault="00127C9F" w:rsidP="001D496B">
            <w:r>
              <w:rPr>
                <w:rFonts w:hint="eastAsia"/>
              </w:rPr>
              <w:t>9</w:t>
            </w:r>
          </w:p>
        </w:tc>
        <w:tc>
          <w:tcPr>
            <w:tcW w:w="0" w:type="auto"/>
          </w:tcPr>
          <w:p w:rsidR="00FE107C" w:rsidRPr="003F7C6D" w:rsidRDefault="00E06A10" w:rsidP="00E06A10">
            <w:r>
              <w:rPr>
                <w:rFonts w:hint="eastAsia"/>
              </w:rPr>
              <w:t>Immunized</w:t>
            </w:r>
            <w:r w:rsidR="00467FE1" w:rsidRPr="00467FE1">
              <w:t xml:space="preserve"> twice with CSFV attenuated vaccine. After the second immunization, peripheral blood lymphocytes (PBLs) were separated from the blood of the pigs</w:t>
            </w:r>
            <w:r>
              <w:rPr>
                <w:rFonts w:hint="eastAsia"/>
              </w:rPr>
              <w:t xml:space="preserve"> for further study.</w:t>
            </w:r>
          </w:p>
        </w:tc>
        <w:tc>
          <w:tcPr>
            <w:tcW w:w="0" w:type="auto"/>
          </w:tcPr>
          <w:p w:rsidR="00FE107C" w:rsidRPr="003F7C6D" w:rsidRDefault="00E06A10" w:rsidP="001D496B">
            <w:r>
              <w:rPr>
                <w:rFonts w:hint="eastAsia"/>
              </w:rPr>
              <w:t>3</w:t>
            </w:r>
          </w:p>
        </w:tc>
      </w:tr>
      <w:tr w:rsidR="00467FE1" w:rsidTr="00E06A10">
        <w:trPr>
          <w:trHeight w:val="211"/>
        </w:trPr>
        <w:tc>
          <w:tcPr>
            <w:tcW w:w="0" w:type="auto"/>
            <w:gridSpan w:val="4"/>
            <w:shd w:val="clear" w:color="auto" w:fill="D6E3BC" w:themeFill="accent3" w:themeFillTint="66"/>
          </w:tcPr>
          <w:p w:rsidR="00467FE1" w:rsidRPr="003F7C6D" w:rsidRDefault="00467FE1" w:rsidP="001D496B">
            <w:r w:rsidRPr="003F7C6D">
              <w:t>Results</w:t>
            </w:r>
          </w:p>
        </w:tc>
      </w:tr>
      <w:tr w:rsidR="00CB27BC" w:rsidTr="00E06A10">
        <w:trPr>
          <w:trHeight w:val="1615"/>
        </w:trPr>
        <w:tc>
          <w:tcPr>
            <w:tcW w:w="0" w:type="auto"/>
          </w:tcPr>
          <w:p w:rsidR="003F7C6D" w:rsidRDefault="003F7C6D" w:rsidP="001D496B"/>
        </w:tc>
        <w:tc>
          <w:tcPr>
            <w:tcW w:w="0" w:type="auto"/>
          </w:tcPr>
          <w:p w:rsidR="003F7C6D" w:rsidRDefault="00467FE1" w:rsidP="001D496B">
            <w:r>
              <w:rPr>
                <w:rFonts w:hint="eastAsia"/>
              </w:rPr>
              <w:t>10</w:t>
            </w:r>
          </w:p>
        </w:tc>
        <w:tc>
          <w:tcPr>
            <w:tcW w:w="0" w:type="auto"/>
          </w:tcPr>
          <w:p w:rsidR="00467FE1" w:rsidRDefault="00467FE1" w:rsidP="00467FE1">
            <w:pPr>
              <w:rPr>
                <w:rFonts w:hint="eastAsia"/>
              </w:rPr>
            </w:pPr>
            <w:r w:rsidRPr="00467FE1">
              <w:t>Screening of IgG+B Lymphocytes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Screening for Positive Clones of CSFV by ELISA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Construction of Single Chain Antibody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Sequencing analysis of single chain antibody positive clones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Construction of a eukaryotic expression vector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Evaluation of the in vitro cytotoxicity of scFv-16</w:t>
            </w:r>
          </w:p>
          <w:p w:rsidR="00467FE1" w:rsidRDefault="00467FE1" w:rsidP="00467FE1">
            <w:pPr>
              <w:rPr>
                <w:rFonts w:hint="eastAsia"/>
              </w:rPr>
            </w:pPr>
            <w:r w:rsidRPr="00467FE1">
              <w:t>The expression of scFv-16 in ST cells</w:t>
            </w:r>
          </w:p>
          <w:p w:rsidR="003F7C6D" w:rsidRDefault="00467FE1" w:rsidP="00467FE1">
            <w:r w:rsidRPr="00467FE1">
              <w:t>Viral Neutralizationassay</w:t>
            </w:r>
          </w:p>
        </w:tc>
        <w:tc>
          <w:tcPr>
            <w:tcW w:w="0" w:type="auto"/>
          </w:tcPr>
          <w:p w:rsidR="003F7C6D" w:rsidRDefault="00E06A10" w:rsidP="001D496B">
            <w:r>
              <w:rPr>
                <w:rFonts w:hint="eastAsia"/>
              </w:rPr>
              <w:t>5</w:t>
            </w:r>
          </w:p>
        </w:tc>
      </w:tr>
      <w:tr w:rsidR="00CB27BC" w:rsidTr="00E06A10">
        <w:trPr>
          <w:trHeight w:val="1696"/>
        </w:trPr>
        <w:tc>
          <w:tcPr>
            <w:tcW w:w="0" w:type="auto"/>
          </w:tcPr>
          <w:p w:rsidR="003F7C6D" w:rsidRDefault="003F7C6D" w:rsidP="001D496B">
            <w:r w:rsidRPr="003F7C6D">
              <w:t>Discussion</w:t>
            </w:r>
          </w:p>
        </w:tc>
        <w:tc>
          <w:tcPr>
            <w:tcW w:w="0" w:type="auto"/>
          </w:tcPr>
          <w:p w:rsidR="003F7C6D" w:rsidRDefault="00E06A10" w:rsidP="001D496B">
            <w:r>
              <w:rPr>
                <w:rFonts w:hint="eastAsia"/>
              </w:rPr>
              <w:t>11</w:t>
            </w:r>
          </w:p>
        </w:tc>
        <w:tc>
          <w:tcPr>
            <w:tcW w:w="0" w:type="auto"/>
          </w:tcPr>
          <w:p w:rsidR="00CB27BC" w:rsidRDefault="00CB27BC" w:rsidP="001D496B">
            <w:pPr>
              <w:rPr>
                <w:rFonts w:hint="eastAsia"/>
              </w:rPr>
            </w:pPr>
            <w:r>
              <w:rPr>
                <w:rFonts w:hint="eastAsia"/>
              </w:rPr>
              <w:t>S</w:t>
            </w:r>
            <w:r w:rsidRPr="00CB27BC">
              <w:t>ingle B cell antibody preparation is a technique that clones and expresses single antigen-specific B cell antibody genes in vitro</w:t>
            </w:r>
            <w:r>
              <w:rPr>
                <w:rFonts w:hint="eastAsia"/>
              </w:rPr>
              <w:t xml:space="preserve">, </w:t>
            </w:r>
            <w:r w:rsidRPr="00CB27BC">
              <w:t>in this study, we used a B cell antibody was used for focus to acquire a single-chain antibody to CSFV</w:t>
            </w:r>
            <w:r>
              <w:rPr>
                <w:rFonts w:hint="eastAsia"/>
              </w:rPr>
              <w:t>.</w:t>
            </w:r>
          </w:p>
          <w:p w:rsidR="003F7C6D" w:rsidRDefault="00CB27BC" w:rsidP="001D496B">
            <w:r w:rsidRPr="00CB27BC">
              <w:t>In this article, the scFv-16 protein against CSFV was screened by ELISA and neutralized with CSFV in ST cells. The research and design of the swine fever antibody vaccine developed in this project are novel.</w:t>
            </w:r>
          </w:p>
        </w:tc>
        <w:tc>
          <w:tcPr>
            <w:tcW w:w="0" w:type="auto"/>
          </w:tcPr>
          <w:p w:rsidR="003F7C6D" w:rsidRDefault="00CB27BC" w:rsidP="001D496B">
            <w:r>
              <w:rPr>
                <w:rFonts w:hint="eastAsia"/>
              </w:rPr>
              <w:t>6</w:t>
            </w:r>
            <w:bookmarkStart w:id="3" w:name="_GoBack"/>
            <w:bookmarkEnd w:id="3"/>
          </w:p>
        </w:tc>
      </w:tr>
    </w:tbl>
    <w:p w:rsidR="003F7C6D" w:rsidRDefault="003F7C6D"/>
    <w:sectPr w:rsidR="003F7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5CF" w:rsidRDefault="00FB35CF" w:rsidP="003F7C6D">
      <w:r>
        <w:separator/>
      </w:r>
    </w:p>
  </w:endnote>
  <w:endnote w:type="continuationSeparator" w:id="0">
    <w:p w:rsidR="00FB35CF" w:rsidRDefault="00FB35CF" w:rsidP="003F7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5CF" w:rsidRDefault="00FB35CF" w:rsidP="003F7C6D">
      <w:r>
        <w:separator/>
      </w:r>
    </w:p>
  </w:footnote>
  <w:footnote w:type="continuationSeparator" w:id="0">
    <w:p w:rsidR="00FB35CF" w:rsidRDefault="00FB35CF" w:rsidP="003F7C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05C"/>
    <w:rsid w:val="00127C9F"/>
    <w:rsid w:val="003F7C6D"/>
    <w:rsid w:val="00467FE1"/>
    <w:rsid w:val="004B30A0"/>
    <w:rsid w:val="004C7912"/>
    <w:rsid w:val="00725069"/>
    <w:rsid w:val="00834313"/>
    <w:rsid w:val="00B131EE"/>
    <w:rsid w:val="00B7205C"/>
    <w:rsid w:val="00B86DA0"/>
    <w:rsid w:val="00CB27BC"/>
    <w:rsid w:val="00E06A10"/>
    <w:rsid w:val="00FB35CF"/>
    <w:rsid w:val="00FE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7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7C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7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7C6D"/>
    <w:rPr>
      <w:sz w:val="18"/>
      <w:szCs w:val="18"/>
    </w:rPr>
  </w:style>
  <w:style w:type="table" w:styleId="a5">
    <w:name w:val="Table Grid"/>
    <w:basedOn w:val="a1"/>
    <w:uiPriority w:val="59"/>
    <w:rsid w:val="003F7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7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7C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7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7C6D"/>
    <w:rPr>
      <w:sz w:val="18"/>
      <w:szCs w:val="18"/>
    </w:rPr>
  </w:style>
  <w:style w:type="table" w:styleId="a5">
    <w:name w:val="Table Grid"/>
    <w:basedOn w:val="a1"/>
    <w:uiPriority w:val="59"/>
    <w:rsid w:val="003F7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2020-02-13T13:10:00Z</dcterms:created>
  <dcterms:modified xsi:type="dcterms:W3CDTF">2020-02-13T15:46:00Z</dcterms:modified>
</cp:coreProperties>
</file>